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BACC7" w14:textId="36D01917" w:rsidR="00751C81" w:rsidRPr="00751C81" w:rsidRDefault="00751C81" w:rsidP="00751C81">
      <w:pPr>
        <w:pStyle w:val="Header"/>
        <w:jc w:val="both"/>
        <w:rPr>
          <w:bCs/>
          <w:sz w:val="24"/>
        </w:rPr>
      </w:pPr>
      <w:r w:rsidRPr="00751C81">
        <w:rPr>
          <w:bCs/>
          <w:sz w:val="24"/>
        </w:rPr>
        <w:t>3GPP TSG RAN WG1 Meeting #95</w:t>
      </w:r>
      <w:r w:rsidRPr="00751C81">
        <w:rPr>
          <w:bCs/>
          <w:sz w:val="24"/>
        </w:rPr>
        <w:tab/>
      </w:r>
      <w:r w:rsidRPr="00751C81">
        <w:rPr>
          <w:bCs/>
          <w:sz w:val="24"/>
        </w:rPr>
        <w:tab/>
      </w:r>
      <w:r>
        <w:rPr>
          <w:bCs/>
          <w:sz w:val="24"/>
        </w:rPr>
        <w:tab/>
      </w:r>
      <w:r>
        <w:rPr>
          <w:bCs/>
          <w:sz w:val="24"/>
        </w:rPr>
        <w:tab/>
      </w:r>
      <w:r>
        <w:rPr>
          <w:bCs/>
          <w:sz w:val="24"/>
        </w:rPr>
        <w:tab/>
      </w:r>
      <w:r w:rsidR="00E204E0" w:rsidRPr="00E204E0">
        <w:rPr>
          <w:bCs/>
          <w:sz w:val="24"/>
        </w:rPr>
        <w:t>R1-1813022</w:t>
      </w:r>
    </w:p>
    <w:p w14:paraId="07804CED" w14:textId="77777777" w:rsidR="00751C81" w:rsidRPr="00751C81" w:rsidRDefault="00751C81" w:rsidP="00751C81">
      <w:pPr>
        <w:pStyle w:val="Header"/>
        <w:tabs>
          <w:tab w:val="right" w:pos="9639"/>
        </w:tabs>
        <w:jc w:val="both"/>
        <w:rPr>
          <w:bCs/>
          <w:sz w:val="24"/>
        </w:rPr>
      </w:pPr>
      <w:r w:rsidRPr="00751C81">
        <w:rPr>
          <w:bCs/>
          <w:sz w:val="24"/>
        </w:rPr>
        <w:t>Spokane, USA, November 12</w:t>
      </w:r>
      <w:r w:rsidRPr="00751C81">
        <w:rPr>
          <w:bCs/>
          <w:sz w:val="24"/>
          <w:vertAlign w:val="superscript"/>
        </w:rPr>
        <w:t>th</w:t>
      </w:r>
      <w:r w:rsidRPr="00751C81">
        <w:rPr>
          <w:bCs/>
          <w:sz w:val="24"/>
        </w:rPr>
        <w:t xml:space="preserve"> – 16</w:t>
      </w:r>
      <w:r w:rsidRPr="00751C81">
        <w:rPr>
          <w:bCs/>
          <w:sz w:val="24"/>
          <w:vertAlign w:val="superscript"/>
        </w:rPr>
        <w:t>th</w:t>
      </w:r>
      <w:r w:rsidRPr="00751C81">
        <w:rPr>
          <w:bCs/>
          <w:sz w:val="24"/>
        </w:rPr>
        <w:t xml:space="preserve">, 2018 </w:t>
      </w:r>
    </w:p>
    <w:p w14:paraId="682F3619" w14:textId="77777777" w:rsidR="009241DD" w:rsidRPr="00CC27F5" w:rsidRDefault="009241DD" w:rsidP="009241DD">
      <w:pPr>
        <w:pStyle w:val="Header"/>
        <w:tabs>
          <w:tab w:val="right" w:pos="9639"/>
        </w:tabs>
        <w:jc w:val="both"/>
        <w:rPr>
          <w:i/>
          <w:sz w:val="32"/>
          <w:lang w:val="en-GB"/>
        </w:rPr>
      </w:pPr>
      <w:r w:rsidRPr="00CC27F5">
        <w:rPr>
          <w:sz w:val="24"/>
          <w:lang w:val="en-GB"/>
        </w:rPr>
        <w:tab/>
      </w:r>
    </w:p>
    <w:p w14:paraId="763B5D48" w14:textId="0942DD65" w:rsidR="009241DD" w:rsidRPr="00CC27F5" w:rsidRDefault="009241DD" w:rsidP="009241DD">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751C81">
        <w:rPr>
          <w:rFonts w:ascii="Arial" w:hAnsi="Arial"/>
          <w:sz w:val="24"/>
        </w:rPr>
        <w:t>5</w:t>
      </w:r>
    </w:p>
    <w:p w14:paraId="5E768B31" w14:textId="77777777" w:rsidR="009241DD" w:rsidRPr="00CC27F5" w:rsidRDefault="009241DD" w:rsidP="009241DD">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04C6B058" w14:textId="691B8186" w:rsidR="009241DD" w:rsidRPr="00DF4042" w:rsidRDefault="009241DD" w:rsidP="009241DD">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751C81">
        <w:rPr>
          <w:rFonts w:ascii="Arial" w:hAnsi="Arial"/>
          <w:sz w:val="24"/>
        </w:rPr>
        <w:t>Interruption time during mobility for LTE</w:t>
      </w:r>
    </w:p>
    <w:p w14:paraId="5567D5C4" w14:textId="77777777" w:rsidR="009241DD" w:rsidRPr="00CC27F5" w:rsidRDefault="009241DD" w:rsidP="009241DD">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0B80AA15" w14:textId="3F184E77" w:rsidR="009241DD" w:rsidRDefault="00751C81" w:rsidP="009241DD">
      <w:pPr>
        <w:pStyle w:val="Heading1"/>
        <w:numPr>
          <w:ilvl w:val="0"/>
          <w:numId w:val="1"/>
        </w:numPr>
        <w:tabs>
          <w:tab w:val="clear" w:pos="1140"/>
          <w:tab w:val="num" w:pos="720"/>
        </w:tabs>
        <w:ind w:left="720" w:hanging="720"/>
        <w:jc w:val="both"/>
      </w:pPr>
      <w:r>
        <w:t>Background</w:t>
      </w:r>
    </w:p>
    <w:p w14:paraId="22870D3D" w14:textId="7C6A8410" w:rsidR="00751C81" w:rsidRDefault="00751C81" w:rsidP="00751C81">
      <w:r>
        <w:t>In R2-</w:t>
      </w:r>
      <w:r w:rsidRPr="00751C81">
        <w:t>1815706</w:t>
      </w:r>
      <w:r>
        <w:t>, RAN2 tasked RAN1 and RAN4 to determine whether simultaneous transmission/reception of UL and DL physical channels are possible under different assumptions of:</w:t>
      </w:r>
    </w:p>
    <w:p w14:paraId="1D596628" w14:textId="14837F62" w:rsidR="00751C81" w:rsidRDefault="00751C81" w:rsidP="00751C81">
      <w:r>
        <w:tab/>
        <w:t>- Synchronization (sync or async deployments)</w:t>
      </w:r>
    </w:p>
    <w:p w14:paraId="13BA81BC" w14:textId="22E0EB96" w:rsidR="00751C81" w:rsidRDefault="00751C81" w:rsidP="00751C81">
      <w:r>
        <w:tab/>
        <w:t>- Inter/intra frequency</w:t>
      </w:r>
    </w:p>
    <w:p w14:paraId="696EF891" w14:textId="77B2D5C0" w:rsidR="00751C81" w:rsidRDefault="00751C81" w:rsidP="00751C81">
      <w:r>
        <w:tab/>
        <w:t>- Same/different bandwidth in source and target CC</w:t>
      </w:r>
    </w:p>
    <w:p w14:paraId="36FEE817" w14:textId="406D3D30" w:rsidR="00751C81" w:rsidRDefault="00751C81" w:rsidP="00751C81">
      <w:r>
        <w:t>In the remaining of the paper, we present our views on the different combinations of these parameters, and what approaches could be used to support simultaneous transmission/reception under the different scenarios</w:t>
      </w:r>
    </w:p>
    <w:p w14:paraId="53DB5B78" w14:textId="275D2495" w:rsidR="00751C81" w:rsidRDefault="00751C81" w:rsidP="00751C81">
      <w:pPr>
        <w:pStyle w:val="Heading1"/>
        <w:numPr>
          <w:ilvl w:val="0"/>
          <w:numId w:val="1"/>
        </w:numPr>
        <w:tabs>
          <w:tab w:val="clear" w:pos="1140"/>
          <w:tab w:val="num" w:pos="720"/>
        </w:tabs>
        <w:ind w:left="720" w:hanging="720"/>
        <w:jc w:val="both"/>
      </w:pPr>
      <w:r>
        <w:t>General analysis</w:t>
      </w:r>
    </w:p>
    <w:p w14:paraId="3B512F16" w14:textId="7F01D1C1" w:rsidR="00751C81" w:rsidRDefault="00751C81" w:rsidP="00751C81">
      <w:r>
        <w:t xml:space="preserve">For some of the cases </w:t>
      </w:r>
      <w:r w:rsidR="008975C8">
        <w:t>in the LS, it can be readily seen that they are supported by finding an “equivalent” in current specifications (either based on CA or DC) for some others, it needs further study.</w:t>
      </w:r>
    </w:p>
    <w:p w14:paraId="5B5F43BD" w14:textId="70B6922F" w:rsidR="00751C81" w:rsidRPr="004C63F1" w:rsidRDefault="00751C81" w:rsidP="00751C81">
      <w:pPr>
        <w:rPr>
          <w:b/>
          <w:sz w:val="22"/>
        </w:rPr>
      </w:pPr>
    </w:p>
    <w:p w14:paraId="79B7A1DC" w14:textId="40BDB6F1" w:rsidR="00751C81" w:rsidRPr="004C63F1" w:rsidRDefault="00751C81" w:rsidP="00751C81">
      <w:pPr>
        <w:pStyle w:val="Caption"/>
        <w:keepNext/>
        <w:jc w:val="center"/>
        <w:rPr>
          <w:b/>
          <w:sz w:val="20"/>
        </w:rPr>
      </w:pPr>
      <w:r w:rsidRPr="004C63F1">
        <w:rPr>
          <w:b/>
          <w:sz w:val="20"/>
        </w:rPr>
        <w:t xml:space="preserve">Table </w:t>
      </w:r>
      <w:r w:rsidRPr="004C63F1">
        <w:rPr>
          <w:b/>
          <w:sz w:val="20"/>
        </w:rPr>
        <w:fldChar w:fldCharType="begin"/>
      </w:r>
      <w:r w:rsidRPr="004C63F1">
        <w:rPr>
          <w:b/>
          <w:sz w:val="20"/>
        </w:rPr>
        <w:instrText xml:space="preserve"> SEQ Table \* ARABIC </w:instrText>
      </w:r>
      <w:r w:rsidRPr="004C63F1">
        <w:rPr>
          <w:b/>
          <w:sz w:val="20"/>
        </w:rPr>
        <w:fldChar w:fldCharType="separate"/>
      </w:r>
      <w:r w:rsidRPr="004C63F1">
        <w:rPr>
          <w:b/>
          <w:noProof/>
          <w:sz w:val="20"/>
        </w:rPr>
        <w:t>1</w:t>
      </w:r>
      <w:r w:rsidRPr="004C63F1">
        <w:rPr>
          <w:b/>
          <w:sz w:val="20"/>
        </w:rPr>
        <w:fldChar w:fldCharType="end"/>
      </w:r>
      <w:r w:rsidRPr="004C63F1">
        <w:rPr>
          <w:b/>
          <w:sz w:val="20"/>
        </w:rPr>
        <w:t xml:space="preserve"> Equivalence with currently supported modes</w:t>
      </w:r>
    </w:p>
    <w:tbl>
      <w:tblPr>
        <w:tblStyle w:val="TableGrid"/>
        <w:tblW w:w="0" w:type="auto"/>
        <w:tblLook w:val="04A0" w:firstRow="1" w:lastRow="0" w:firstColumn="1" w:lastColumn="0" w:noHBand="0" w:noVBand="1"/>
      </w:tblPr>
      <w:tblGrid>
        <w:gridCol w:w="1925"/>
        <w:gridCol w:w="3200"/>
        <w:gridCol w:w="3330"/>
      </w:tblGrid>
      <w:tr w:rsidR="00751C81" w14:paraId="54DBEDB1" w14:textId="77777777" w:rsidTr="00751C81">
        <w:tc>
          <w:tcPr>
            <w:tcW w:w="1925" w:type="dxa"/>
          </w:tcPr>
          <w:p w14:paraId="60F503C8" w14:textId="77777777" w:rsidR="00751C81" w:rsidRDefault="00751C81" w:rsidP="00751C81"/>
        </w:tc>
        <w:tc>
          <w:tcPr>
            <w:tcW w:w="3200" w:type="dxa"/>
          </w:tcPr>
          <w:p w14:paraId="329F0B10" w14:textId="3291B9D3" w:rsidR="00751C81" w:rsidRPr="00751C81" w:rsidRDefault="00751C81" w:rsidP="00751C81">
            <w:pPr>
              <w:rPr>
                <w:b/>
              </w:rPr>
            </w:pPr>
            <w:r w:rsidRPr="00751C81">
              <w:rPr>
                <w:b/>
              </w:rPr>
              <w:t>Intra-frequency</w:t>
            </w:r>
          </w:p>
        </w:tc>
        <w:tc>
          <w:tcPr>
            <w:tcW w:w="3330" w:type="dxa"/>
          </w:tcPr>
          <w:p w14:paraId="1A7844E0" w14:textId="4F7D29E0" w:rsidR="00751C81" w:rsidRPr="00751C81" w:rsidRDefault="00751C81" w:rsidP="00751C81">
            <w:pPr>
              <w:rPr>
                <w:b/>
              </w:rPr>
            </w:pPr>
            <w:r w:rsidRPr="00751C81">
              <w:rPr>
                <w:b/>
              </w:rPr>
              <w:t>Inter-frequency</w:t>
            </w:r>
          </w:p>
        </w:tc>
      </w:tr>
      <w:tr w:rsidR="00751C81" w14:paraId="7DBB3F8C" w14:textId="77777777" w:rsidTr="00751C81">
        <w:tc>
          <w:tcPr>
            <w:tcW w:w="1925" w:type="dxa"/>
          </w:tcPr>
          <w:p w14:paraId="143A79AB" w14:textId="3BF4EBEB" w:rsidR="00751C81" w:rsidRPr="00751C81" w:rsidRDefault="00751C81" w:rsidP="00751C81">
            <w:pPr>
              <w:rPr>
                <w:b/>
              </w:rPr>
            </w:pPr>
            <w:r w:rsidRPr="00751C81">
              <w:rPr>
                <w:b/>
              </w:rPr>
              <w:t>Sync</w:t>
            </w:r>
          </w:p>
        </w:tc>
        <w:tc>
          <w:tcPr>
            <w:tcW w:w="3200" w:type="dxa"/>
          </w:tcPr>
          <w:p w14:paraId="225A4AD9" w14:textId="27265716" w:rsidR="00751C81" w:rsidRDefault="008975C8" w:rsidP="00751C81">
            <w:r>
              <w:t>For simultaneous transmission, the closest equivalence would be simultaneous transmission of physical channels (e.g. PUSCH/PUCCH)</w:t>
            </w:r>
            <w:r w:rsidR="00E204E0">
              <w:t xml:space="preserve">, </w:t>
            </w:r>
            <w:r>
              <w:t>PUSCH with resource allocation type 1 (2-cluster PUSCH)</w:t>
            </w:r>
            <w:r w:rsidR="00E204E0">
              <w:t>, or UL-MIMO.</w:t>
            </w:r>
            <w:bookmarkStart w:id="2" w:name="_GoBack"/>
            <w:bookmarkEnd w:id="2"/>
          </w:p>
        </w:tc>
        <w:tc>
          <w:tcPr>
            <w:tcW w:w="3330" w:type="dxa"/>
          </w:tcPr>
          <w:p w14:paraId="7CF6235F" w14:textId="79F22255" w:rsidR="00751C81" w:rsidRDefault="00751C81" w:rsidP="00751C81">
            <w:r>
              <w:t xml:space="preserve">Depending on the degree of sync, this can be seen (from PHY) to be equivalent to CA or DC from both Tx and Rx perspective. This requires dual Tx/Rx. This should apply regardless of </w:t>
            </w:r>
            <w:r w:rsidR="008975C8">
              <w:t>bandwidth of source/target cell are the same or different.</w:t>
            </w:r>
          </w:p>
        </w:tc>
      </w:tr>
      <w:tr w:rsidR="00751C81" w14:paraId="777A98A8" w14:textId="77777777" w:rsidTr="00751C81">
        <w:tc>
          <w:tcPr>
            <w:tcW w:w="1925" w:type="dxa"/>
          </w:tcPr>
          <w:p w14:paraId="1381C7E3" w14:textId="2C03FE46" w:rsidR="00751C81" w:rsidRPr="00751C81" w:rsidRDefault="00751C81" w:rsidP="00751C81">
            <w:pPr>
              <w:rPr>
                <w:b/>
              </w:rPr>
            </w:pPr>
            <w:r w:rsidRPr="00751C81">
              <w:rPr>
                <w:b/>
              </w:rPr>
              <w:t>Async</w:t>
            </w:r>
          </w:p>
        </w:tc>
        <w:tc>
          <w:tcPr>
            <w:tcW w:w="3200" w:type="dxa"/>
          </w:tcPr>
          <w:p w14:paraId="74DE03D6" w14:textId="18ABB22D" w:rsidR="00751C81" w:rsidRDefault="008975C8" w:rsidP="00751C81">
            <w:r>
              <w:t>Not supported currently.</w:t>
            </w:r>
          </w:p>
        </w:tc>
        <w:tc>
          <w:tcPr>
            <w:tcW w:w="3330" w:type="dxa"/>
          </w:tcPr>
          <w:p w14:paraId="044627AD" w14:textId="69811C22" w:rsidR="00751C81" w:rsidRDefault="00751C81" w:rsidP="00751C81">
            <w:r>
              <w:t>This can be seen (from PHY) to be equivalent to DC from both Tx and Rx perspective. Simultaneous transmission/reception requires dual Tx/Rx.</w:t>
            </w:r>
            <w:r w:rsidR="008975C8">
              <w:t xml:space="preserve"> This should apply regardless of bandwidth of source/target cell are the same or different.</w:t>
            </w:r>
          </w:p>
        </w:tc>
      </w:tr>
    </w:tbl>
    <w:p w14:paraId="2712FDD3" w14:textId="77777777" w:rsidR="00751C81" w:rsidRPr="00751C81" w:rsidRDefault="00751C81" w:rsidP="00751C81"/>
    <w:p w14:paraId="5155639D" w14:textId="59C4116F" w:rsidR="00751C81" w:rsidRDefault="008975C8" w:rsidP="00751C81">
      <w:pPr>
        <w:rPr>
          <w:b/>
        </w:rPr>
      </w:pPr>
      <w:r w:rsidRPr="008975C8">
        <w:rPr>
          <w:b/>
          <w:u w:val="single"/>
        </w:rPr>
        <w:t>Proposal 1:</w:t>
      </w:r>
      <w:r>
        <w:rPr>
          <w:b/>
        </w:rPr>
        <w:t xml:space="preserve"> From RAN1 perspective, the following cases:</w:t>
      </w:r>
    </w:p>
    <w:p w14:paraId="51DDC7A9" w14:textId="31B46D5B" w:rsidR="008975C8" w:rsidRDefault="008975C8" w:rsidP="00751C81">
      <w:pPr>
        <w:rPr>
          <w:b/>
        </w:rPr>
      </w:pPr>
      <w:r>
        <w:rPr>
          <w:b/>
        </w:rPr>
        <w:tab/>
        <w:t>- Inter-frequency with sync/async deployment, with same/different bandwidth</w:t>
      </w:r>
    </w:p>
    <w:p w14:paraId="71D417FE" w14:textId="57429B2D" w:rsidR="008975C8" w:rsidRDefault="008975C8" w:rsidP="00751C81">
      <w:pPr>
        <w:rPr>
          <w:b/>
        </w:rPr>
      </w:pPr>
      <w:r>
        <w:rPr>
          <w:b/>
        </w:rPr>
        <w:t>are supported for UEs with multiple Tx/Rx, and can be found to be equivalent (from PHY point of view) to DC/CA.</w:t>
      </w:r>
    </w:p>
    <w:p w14:paraId="3147E324" w14:textId="385D6CC4" w:rsidR="004C63F1" w:rsidRDefault="004C63F1" w:rsidP="00751C81">
      <w:r w:rsidRPr="004C63F1">
        <w:lastRenderedPageBreak/>
        <w:t>Note that, in general, most current UEs support carrier aggregation and thus should be able to support at least a subset of the cases above.</w:t>
      </w:r>
      <w:r>
        <w:t xml:space="preserve"> In general, however, this would require that some “resources” are released in the source </w:t>
      </w:r>
      <w:proofErr w:type="spellStart"/>
      <w:r>
        <w:t>eNB</w:t>
      </w:r>
      <w:proofErr w:type="spellEnd"/>
      <w:r>
        <w:t xml:space="preserve"> before the handover procedure starts, such that those resources are available for communication with the target </w:t>
      </w:r>
      <w:proofErr w:type="spellStart"/>
      <w:r>
        <w:t>eNB</w:t>
      </w:r>
      <w:proofErr w:type="spellEnd"/>
      <w:r>
        <w:t>.</w:t>
      </w:r>
    </w:p>
    <w:p w14:paraId="1D823744" w14:textId="2E0A5C53" w:rsidR="004C63F1" w:rsidRDefault="004C63F1" w:rsidP="00751C81">
      <w:pPr>
        <w:rPr>
          <w:b/>
        </w:rPr>
      </w:pPr>
      <w:r w:rsidRPr="004C63F1">
        <w:rPr>
          <w:b/>
          <w:u w:val="single"/>
        </w:rPr>
        <w:t>Proposal 2</w:t>
      </w:r>
      <w:r>
        <w:rPr>
          <w:b/>
          <w:u w:val="single"/>
        </w:rPr>
        <w:t>:</w:t>
      </w:r>
      <w:r>
        <w:rPr>
          <w:b/>
        </w:rPr>
        <w:t xml:space="preserve"> To have simultaneous </w:t>
      </w:r>
      <w:proofErr w:type="spellStart"/>
      <w:r>
        <w:rPr>
          <w:b/>
        </w:rPr>
        <w:t>tx</w:t>
      </w:r>
      <w:proofErr w:type="spellEnd"/>
      <w:r>
        <w:rPr>
          <w:b/>
        </w:rPr>
        <w:t>/</w:t>
      </w:r>
      <w:proofErr w:type="spellStart"/>
      <w:r>
        <w:rPr>
          <w:b/>
        </w:rPr>
        <w:t>rx</w:t>
      </w:r>
      <w:proofErr w:type="spellEnd"/>
      <w:r>
        <w:rPr>
          <w:b/>
        </w:rPr>
        <w:t xml:space="preserve"> with source/target </w:t>
      </w:r>
      <w:proofErr w:type="spellStart"/>
      <w:r>
        <w:rPr>
          <w:b/>
        </w:rPr>
        <w:t>eNB</w:t>
      </w:r>
      <w:proofErr w:type="spellEnd"/>
      <w:r>
        <w:rPr>
          <w:b/>
        </w:rPr>
        <w:t xml:space="preserve">, the UE may need to reduce </w:t>
      </w:r>
      <w:proofErr w:type="gramStart"/>
      <w:r>
        <w:rPr>
          <w:b/>
        </w:rPr>
        <w:t>its</w:t>
      </w:r>
      <w:proofErr w:type="gramEnd"/>
      <w:r>
        <w:rPr>
          <w:b/>
        </w:rPr>
        <w:t xml:space="preserve"> transmit/receive resources in the source </w:t>
      </w:r>
      <w:proofErr w:type="spellStart"/>
      <w:r>
        <w:rPr>
          <w:b/>
        </w:rPr>
        <w:t>eNB</w:t>
      </w:r>
      <w:proofErr w:type="spellEnd"/>
      <w:r>
        <w:rPr>
          <w:b/>
        </w:rPr>
        <w:t xml:space="preserve"> to free UL/DL resources, including:</w:t>
      </w:r>
    </w:p>
    <w:p w14:paraId="4A01E564" w14:textId="27D3B6E0" w:rsidR="004C63F1" w:rsidRDefault="004C63F1" w:rsidP="00751C81">
      <w:pPr>
        <w:rPr>
          <w:b/>
        </w:rPr>
      </w:pPr>
      <w:r>
        <w:rPr>
          <w:b/>
        </w:rPr>
        <w:tab/>
        <w:t>- Reducing number of aggregated carriers/bands</w:t>
      </w:r>
    </w:p>
    <w:p w14:paraId="001B809A" w14:textId="31AE00B0" w:rsidR="004C63F1" w:rsidRDefault="004C63F1" w:rsidP="00751C81">
      <w:pPr>
        <w:rPr>
          <w:b/>
        </w:rPr>
      </w:pPr>
      <w:r>
        <w:rPr>
          <w:b/>
        </w:rPr>
        <w:tab/>
        <w:t>- Reducing number of MIMO layers (in both uplink and downlink)</w:t>
      </w:r>
    </w:p>
    <w:p w14:paraId="7B5D247E" w14:textId="77777777" w:rsidR="004C63F1" w:rsidRPr="004C63F1" w:rsidRDefault="004C63F1" w:rsidP="00751C81">
      <w:pPr>
        <w:rPr>
          <w:b/>
        </w:rPr>
      </w:pPr>
    </w:p>
    <w:p w14:paraId="7EC5FF96" w14:textId="100981C9" w:rsidR="008975C8" w:rsidRDefault="008975C8" w:rsidP="008975C8">
      <w:pPr>
        <w:pStyle w:val="Heading1"/>
        <w:numPr>
          <w:ilvl w:val="0"/>
          <w:numId w:val="1"/>
        </w:numPr>
        <w:tabs>
          <w:tab w:val="clear" w:pos="1140"/>
          <w:tab w:val="num" w:pos="720"/>
        </w:tabs>
        <w:ind w:left="720" w:hanging="720"/>
        <w:jc w:val="both"/>
      </w:pPr>
      <w:r>
        <w:t>Analysis of intra-frequency cases</w:t>
      </w:r>
      <w:r w:rsidR="00233193">
        <w:t xml:space="preserve"> – DL</w:t>
      </w:r>
    </w:p>
    <w:p w14:paraId="6907D5B4" w14:textId="00C53482" w:rsidR="00233193" w:rsidRDefault="00233193" w:rsidP="00233193">
      <w:r>
        <w:t xml:space="preserve">The case of receiving from multiple </w:t>
      </w:r>
      <w:proofErr w:type="spellStart"/>
      <w:r>
        <w:t>eNBs</w:t>
      </w:r>
      <w:proofErr w:type="spellEnd"/>
      <w:r>
        <w:t xml:space="preserve"> in the same frequency has an interference issue, especially in loaded cells. However, if the UE has available resources, this reception should be feasible – albeit at low data rates.</w:t>
      </w:r>
    </w:p>
    <w:p w14:paraId="287C042B" w14:textId="30FD16A6" w:rsidR="00233193" w:rsidRDefault="00233193" w:rsidP="00233193">
      <w:r>
        <w:t>In Figure 1 we present two potential options to implement intra-frequency reception in the DL:</w:t>
      </w:r>
    </w:p>
    <w:p w14:paraId="710F9660" w14:textId="5052B76D" w:rsidR="00233193" w:rsidRDefault="00233193" w:rsidP="00233193">
      <w:pPr>
        <w:jc w:val="center"/>
      </w:pPr>
      <w:r w:rsidRPr="00233193">
        <w:rPr>
          <w:lang w:val="en-US"/>
        </w:rPr>
        <w:object w:dxaOrig="12746" w:dyaOrig="5157" w14:anchorId="7ABB00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3pt;height:152.15pt" o:ole="">
            <v:imagedata r:id="rId7" o:title=""/>
          </v:shape>
          <o:OLEObject Type="Embed" ProgID="Visio.Drawing.11" ShapeID="_x0000_i1025" DrawAspect="Content" ObjectID="_1602689457" r:id="rId8"/>
        </w:object>
      </w:r>
    </w:p>
    <w:p w14:paraId="2F932C8D" w14:textId="24A2F2C2" w:rsidR="00233193" w:rsidRDefault="00233193" w:rsidP="00233193">
      <w:r w:rsidRPr="00233193">
        <w:rPr>
          <w:u w:val="single"/>
        </w:rPr>
        <w:t>Option 1:</w:t>
      </w:r>
      <w:r>
        <w:t xml:space="preserve"> In this option, the baseband samples (from RF) are routed to two different baseband processors, that may perform different operations (e.g. in terms of FFT window setting, loops, etc.). Processing the DL from two </w:t>
      </w:r>
      <w:proofErr w:type="spellStart"/>
      <w:r>
        <w:t>eNBs</w:t>
      </w:r>
      <w:proofErr w:type="spellEnd"/>
      <w:r>
        <w:t xml:space="preserve"> requires, in general, more baseband processing power than receiving from a single </w:t>
      </w:r>
      <w:proofErr w:type="spellStart"/>
      <w:r>
        <w:t>eNB</w:t>
      </w:r>
      <w:proofErr w:type="spellEnd"/>
      <w:r>
        <w:t>, so the CA/MIMO configuration of the UE may need to be reduced in the source (as depicted above). The limitations with this approach are:</w:t>
      </w:r>
    </w:p>
    <w:p w14:paraId="1A47B2BA" w14:textId="2F21924E" w:rsidR="00233193" w:rsidRDefault="00233193" w:rsidP="00233193">
      <w:r>
        <w:tab/>
        <w:t>- If the UE has some of the loops running in the RF side, it may not be able to correctly operate in scenarios of high doppler.</w:t>
      </w:r>
    </w:p>
    <w:p w14:paraId="35F692FA" w14:textId="5C1F0D26" w:rsidR="00233193" w:rsidRDefault="00233193" w:rsidP="00233193">
      <w:r>
        <w:tab/>
        <w:t>- Issues regarding AGC settings (including when to adjust the AGC – usually done between subframes to avoid impact to PDSCH, and how to adjust it – since now we are processing</w:t>
      </w:r>
      <w:r w:rsidR="0063544E">
        <w:t xml:space="preserve"> different </w:t>
      </w:r>
      <w:proofErr w:type="spellStart"/>
      <w:r w:rsidR="0063544E">
        <w:t>eNB</w:t>
      </w:r>
      <w:proofErr w:type="spellEnd"/>
      <w:r w:rsidR="0063544E">
        <w:t xml:space="preserve"> that may see different pathloss) should be studied by RAN4.</w:t>
      </w:r>
    </w:p>
    <w:p w14:paraId="2E4860F8" w14:textId="6B9F8B59" w:rsidR="0006581C" w:rsidRDefault="0006581C" w:rsidP="00233193">
      <w:r>
        <w:tab/>
        <w:t>- Under this option, the bandwidth of source and target cell may need to be the same.</w:t>
      </w:r>
    </w:p>
    <w:p w14:paraId="7F0F9419" w14:textId="13B186E2" w:rsidR="0063544E" w:rsidRDefault="0063544E" w:rsidP="00233193"/>
    <w:p w14:paraId="1C905310" w14:textId="53D6B201" w:rsidR="0063544E" w:rsidRDefault="0063544E" w:rsidP="00233193">
      <w:r w:rsidRPr="0063544E">
        <w:rPr>
          <w:u w:val="single"/>
        </w:rPr>
        <w:t>Option 2:</w:t>
      </w:r>
      <w:r>
        <w:t xml:space="preserve"> In this option, the UE has an ‘spare’ RF chain that can be used to receiving in the same frequency. This would require freeing that RF chain from CA operation and repurposing it during the handover. This option removes the drawbacks of AGC/loops, since now both chains can be (in principle) adjusted independently.</w:t>
      </w:r>
    </w:p>
    <w:p w14:paraId="6E779FB6" w14:textId="7E36F0AA" w:rsidR="0063544E" w:rsidRDefault="0063544E" w:rsidP="00233193"/>
    <w:p w14:paraId="1CBBAB29" w14:textId="5F70660D" w:rsidR="0063544E" w:rsidRDefault="0063544E" w:rsidP="00233193">
      <w:pPr>
        <w:rPr>
          <w:b/>
        </w:rPr>
      </w:pPr>
      <w:r w:rsidRPr="0063544E">
        <w:rPr>
          <w:b/>
          <w:u w:val="single"/>
        </w:rPr>
        <w:t>Proposal 3:</w:t>
      </w:r>
      <w:r>
        <w:rPr>
          <w:b/>
        </w:rPr>
        <w:t xml:space="preserve"> From RAN1 perspective, it is feasible to support simultaneous reception in intra-frequency case at least for UEs with multiple Rx. RAN4 to confirm this case, and under what conditions it is feasible.</w:t>
      </w:r>
    </w:p>
    <w:p w14:paraId="116CFC19" w14:textId="70C930A8" w:rsidR="0063544E" w:rsidRPr="0063544E" w:rsidRDefault="0063544E" w:rsidP="00233193">
      <w:pPr>
        <w:rPr>
          <w:b/>
        </w:rPr>
      </w:pPr>
      <w:r>
        <w:rPr>
          <w:b/>
        </w:rPr>
        <w:t>NOTE: Multiple Rx may include the capability of sharing a common RF but separate baseband resources.</w:t>
      </w:r>
    </w:p>
    <w:p w14:paraId="5665817C" w14:textId="0F255D1F" w:rsidR="00233193" w:rsidRDefault="00233193" w:rsidP="00233193"/>
    <w:p w14:paraId="63C3DBF4" w14:textId="09C806B8" w:rsidR="00233193" w:rsidRDefault="00233193" w:rsidP="00233193">
      <w:pPr>
        <w:pStyle w:val="Heading1"/>
        <w:numPr>
          <w:ilvl w:val="0"/>
          <w:numId w:val="1"/>
        </w:numPr>
        <w:tabs>
          <w:tab w:val="clear" w:pos="1140"/>
          <w:tab w:val="num" w:pos="720"/>
        </w:tabs>
        <w:ind w:left="720" w:hanging="720"/>
        <w:jc w:val="both"/>
      </w:pPr>
      <w:r>
        <w:lastRenderedPageBreak/>
        <w:t>Analysis of intra-frequency cases -- UL</w:t>
      </w:r>
    </w:p>
    <w:p w14:paraId="27723765" w14:textId="7C7F3B37" w:rsidR="00233193" w:rsidRPr="00233193" w:rsidRDefault="0063544E" w:rsidP="00233193">
      <w:r>
        <w:t xml:space="preserve">The case of intra-frequency transmission </w:t>
      </w:r>
      <w:r w:rsidR="00EC46C1">
        <w:t xml:space="preserve">may be more complicated to assess from RAN1 perspective due to the interactions with RF. In general, a UE supporting UL MIMO </w:t>
      </w:r>
      <w:proofErr w:type="gramStart"/>
      <w:r w:rsidR="00EC46C1">
        <w:t>is capable of transmitting</w:t>
      </w:r>
      <w:proofErr w:type="gramEnd"/>
      <w:r w:rsidR="00EC46C1">
        <w:t xml:space="preserve"> two streams of data simultaneously (albeit with similar power and same timing advance), and thus should be able to use those resources to communicate with two </w:t>
      </w:r>
      <w:proofErr w:type="spellStart"/>
      <w:r w:rsidR="00EC46C1">
        <w:t>eNBs</w:t>
      </w:r>
      <w:proofErr w:type="spellEnd"/>
      <w:r w:rsidR="00EC46C1">
        <w:t xml:space="preserve"> simultaneously.</w:t>
      </w:r>
    </w:p>
    <w:p w14:paraId="7A5C3844" w14:textId="3EE775CD" w:rsidR="008975C8" w:rsidRDefault="008975C8" w:rsidP="00751C81">
      <w:pPr>
        <w:rPr>
          <w:b/>
        </w:rPr>
      </w:pPr>
    </w:p>
    <w:p w14:paraId="2477B0B6" w14:textId="61115156" w:rsidR="0063544E" w:rsidRDefault="0063544E" w:rsidP="0063544E">
      <w:pPr>
        <w:rPr>
          <w:b/>
        </w:rPr>
      </w:pPr>
      <w:r w:rsidRPr="0063544E">
        <w:rPr>
          <w:b/>
          <w:u w:val="single"/>
        </w:rPr>
        <w:t xml:space="preserve">Proposal </w:t>
      </w:r>
      <w:r w:rsidR="00EC46C1">
        <w:rPr>
          <w:b/>
          <w:u w:val="single"/>
        </w:rPr>
        <w:t>4</w:t>
      </w:r>
      <w:r w:rsidRPr="0063544E">
        <w:rPr>
          <w:b/>
          <w:u w:val="single"/>
        </w:rPr>
        <w:t>:</w:t>
      </w:r>
      <w:r>
        <w:rPr>
          <w:b/>
        </w:rPr>
        <w:t xml:space="preserve"> RAN4 should consider the feasibility of the following:</w:t>
      </w:r>
    </w:p>
    <w:p w14:paraId="0298C91E" w14:textId="2E01010A" w:rsidR="0063544E" w:rsidRDefault="0063544E" w:rsidP="0063544E">
      <w:pPr>
        <w:rPr>
          <w:b/>
        </w:rPr>
      </w:pPr>
      <w:r>
        <w:rPr>
          <w:b/>
        </w:rPr>
        <w:tab/>
        <w:t xml:space="preserve">- Support of intra-frequency transmission for UEs supporting UL MIMO, at least for the case where source and target </w:t>
      </w:r>
      <w:proofErr w:type="spellStart"/>
      <w:r>
        <w:rPr>
          <w:b/>
        </w:rPr>
        <w:t>eNB</w:t>
      </w:r>
      <w:proofErr w:type="spellEnd"/>
      <w:r>
        <w:rPr>
          <w:b/>
        </w:rPr>
        <w:t xml:space="preserve"> require similar power, same timing advance, and same cell bandwidth.</w:t>
      </w:r>
    </w:p>
    <w:p w14:paraId="48C1C7AE" w14:textId="4A86E7CA" w:rsidR="0063544E" w:rsidRDefault="0063544E" w:rsidP="0063544E">
      <w:pPr>
        <w:rPr>
          <w:b/>
        </w:rPr>
      </w:pPr>
      <w:r>
        <w:rPr>
          <w:b/>
        </w:rPr>
        <w:tab/>
        <w:t>FFS: async and different power/bandwidth.</w:t>
      </w:r>
    </w:p>
    <w:p w14:paraId="509EFEEE" w14:textId="77777777" w:rsidR="008975C8" w:rsidRPr="008975C8" w:rsidRDefault="008975C8" w:rsidP="00751C81">
      <w:pPr>
        <w:rPr>
          <w:b/>
        </w:rPr>
      </w:pPr>
    </w:p>
    <w:p w14:paraId="5AD957C9" w14:textId="77777777" w:rsidR="009241DD" w:rsidRPr="00F26F09" w:rsidRDefault="009241DD" w:rsidP="009241DD">
      <w:pPr>
        <w:rPr>
          <w:b/>
          <w:u w:val="single"/>
          <w:lang w:val="en-US"/>
        </w:rPr>
      </w:pPr>
    </w:p>
    <w:p w14:paraId="2C5D59DD" w14:textId="4485F63D" w:rsidR="0063544E" w:rsidRDefault="0063544E" w:rsidP="0063544E">
      <w:pPr>
        <w:pStyle w:val="Heading1"/>
        <w:numPr>
          <w:ilvl w:val="0"/>
          <w:numId w:val="1"/>
        </w:numPr>
        <w:tabs>
          <w:tab w:val="clear" w:pos="1140"/>
          <w:tab w:val="num" w:pos="720"/>
        </w:tabs>
        <w:ind w:left="720" w:hanging="720"/>
        <w:jc w:val="both"/>
      </w:pPr>
      <w:r>
        <w:t>Summary</w:t>
      </w:r>
    </w:p>
    <w:p w14:paraId="5F099A3A" w14:textId="7DA48A45" w:rsidR="003A52C5" w:rsidRDefault="00780CE6"/>
    <w:p w14:paraId="7C5AE2BE" w14:textId="77777777" w:rsidR="00EC46C1" w:rsidRDefault="00EC46C1" w:rsidP="00EC46C1">
      <w:pPr>
        <w:rPr>
          <w:b/>
        </w:rPr>
      </w:pPr>
      <w:r w:rsidRPr="008975C8">
        <w:rPr>
          <w:b/>
          <w:u w:val="single"/>
        </w:rPr>
        <w:t>Proposal 1:</w:t>
      </w:r>
      <w:r>
        <w:rPr>
          <w:b/>
        </w:rPr>
        <w:t xml:space="preserve"> From RAN1 perspective, the following cases:</w:t>
      </w:r>
    </w:p>
    <w:p w14:paraId="45B991F4" w14:textId="77777777" w:rsidR="00EC46C1" w:rsidRDefault="00EC46C1" w:rsidP="00EC46C1">
      <w:pPr>
        <w:rPr>
          <w:b/>
        </w:rPr>
      </w:pPr>
      <w:r>
        <w:rPr>
          <w:b/>
        </w:rPr>
        <w:tab/>
        <w:t>- Inter-frequency with sync/async deployment, with same/different bandwidth</w:t>
      </w:r>
    </w:p>
    <w:p w14:paraId="7B210C16" w14:textId="2838F9DB" w:rsidR="00EC46C1" w:rsidRDefault="00EC46C1" w:rsidP="00EC46C1">
      <w:pPr>
        <w:rPr>
          <w:b/>
        </w:rPr>
      </w:pPr>
      <w:r>
        <w:rPr>
          <w:b/>
        </w:rPr>
        <w:t>are supported for UEs with multiple Tx/Rx, and can be found to be equivalent (from PHY point of view) to DC/CA.</w:t>
      </w:r>
    </w:p>
    <w:p w14:paraId="2CD61276" w14:textId="77777777" w:rsidR="00EC46C1" w:rsidRDefault="00EC46C1" w:rsidP="00EC46C1">
      <w:pPr>
        <w:rPr>
          <w:b/>
        </w:rPr>
      </w:pPr>
    </w:p>
    <w:p w14:paraId="18B7EAD0" w14:textId="77777777" w:rsidR="00EC46C1" w:rsidRDefault="00EC46C1" w:rsidP="00EC46C1">
      <w:pPr>
        <w:rPr>
          <w:b/>
        </w:rPr>
      </w:pPr>
      <w:r w:rsidRPr="004C63F1">
        <w:rPr>
          <w:b/>
          <w:u w:val="single"/>
        </w:rPr>
        <w:t>Proposal 2</w:t>
      </w:r>
      <w:r>
        <w:rPr>
          <w:b/>
          <w:u w:val="single"/>
        </w:rPr>
        <w:t>:</w:t>
      </w:r>
      <w:r>
        <w:rPr>
          <w:b/>
        </w:rPr>
        <w:t xml:space="preserve"> To have simultaneous </w:t>
      </w:r>
      <w:proofErr w:type="spellStart"/>
      <w:r>
        <w:rPr>
          <w:b/>
        </w:rPr>
        <w:t>tx</w:t>
      </w:r>
      <w:proofErr w:type="spellEnd"/>
      <w:r>
        <w:rPr>
          <w:b/>
        </w:rPr>
        <w:t>/</w:t>
      </w:r>
      <w:proofErr w:type="spellStart"/>
      <w:r>
        <w:rPr>
          <w:b/>
        </w:rPr>
        <w:t>rx</w:t>
      </w:r>
      <w:proofErr w:type="spellEnd"/>
      <w:r>
        <w:rPr>
          <w:b/>
        </w:rPr>
        <w:t xml:space="preserve"> with source/target </w:t>
      </w:r>
      <w:proofErr w:type="spellStart"/>
      <w:r>
        <w:rPr>
          <w:b/>
        </w:rPr>
        <w:t>eNB</w:t>
      </w:r>
      <w:proofErr w:type="spellEnd"/>
      <w:r>
        <w:rPr>
          <w:b/>
        </w:rPr>
        <w:t xml:space="preserve">, the UE may need to reduce </w:t>
      </w:r>
      <w:proofErr w:type="gramStart"/>
      <w:r>
        <w:rPr>
          <w:b/>
        </w:rPr>
        <w:t>its</w:t>
      </w:r>
      <w:proofErr w:type="gramEnd"/>
      <w:r>
        <w:rPr>
          <w:b/>
        </w:rPr>
        <w:t xml:space="preserve"> transmit/receive resources in the source </w:t>
      </w:r>
      <w:proofErr w:type="spellStart"/>
      <w:r>
        <w:rPr>
          <w:b/>
        </w:rPr>
        <w:t>eNB</w:t>
      </w:r>
      <w:proofErr w:type="spellEnd"/>
      <w:r>
        <w:rPr>
          <w:b/>
        </w:rPr>
        <w:t xml:space="preserve"> to free UL/DL resources, including:</w:t>
      </w:r>
    </w:p>
    <w:p w14:paraId="62B7EC80" w14:textId="77777777" w:rsidR="00EC46C1" w:rsidRDefault="00EC46C1" w:rsidP="00EC46C1">
      <w:pPr>
        <w:rPr>
          <w:b/>
        </w:rPr>
      </w:pPr>
      <w:r>
        <w:rPr>
          <w:b/>
        </w:rPr>
        <w:tab/>
        <w:t>- Reducing number of aggregated carriers/bands</w:t>
      </w:r>
    </w:p>
    <w:p w14:paraId="44F8DA85" w14:textId="2B8F12C8" w:rsidR="00EC46C1" w:rsidRDefault="00EC46C1" w:rsidP="00EC46C1">
      <w:pPr>
        <w:rPr>
          <w:b/>
        </w:rPr>
      </w:pPr>
      <w:r>
        <w:rPr>
          <w:b/>
        </w:rPr>
        <w:tab/>
        <w:t>- Reducing number of MIMO layers (in both uplink and downlink)</w:t>
      </w:r>
    </w:p>
    <w:p w14:paraId="2AD05B4C" w14:textId="77777777" w:rsidR="00EC46C1" w:rsidRDefault="00EC46C1" w:rsidP="00EC46C1">
      <w:pPr>
        <w:rPr>
          <w:b/>
        </w:rPr>
      </w:pPr>
    </w:p>
    <w:p w14:paraId="405EC552" w14:textId="77777777" w:rsidR="00EC46C1" w:rsidRDefault="00EC46C1" w:rsidP="00EC46C1">
      <w:pPr>
        <w:rPr>
          <w:b/>
        </w:rPr>
      </w:pPr>
      <w:r w:rsidRPr="0063544E">
        <w:rPr>
          <w:b/>
          <w:u w:val="single"/>
        </w:rPr>
        <w:t>Proposal 3:</w:t>
      </w:r>
      <w:r>
        <w:rPr>
          <w:b/>
        </w:rPr>
        <w:t xml:space="preserve"> From RAN1 perspective, it is feasible to support simultaneous reception in intra-frequency case at least for UEs with multiple Rx. RAN4 to confirm this case, and under what conditions it is feasible.</w:t>
      </w:r>
    </w:p>
    <w:p w14:paraId="0EC49FF4" w14:textId="355FF673" w:rsidR="00EC46C1" w:rsidRDefault="00EC46C1" w:rsidP="00EC46C1">
      <w:pPr>
        <w:rPr>
          <w:b/>
        </w:rPr>
      </w:pPr>
      <w:r>
        <w:rPr>
          <w:b/>
        </w:rPr>
        <w:t>NOTE: Multiple Rx may include the capability of sharing a common RF but separate baseband resources.</w:t>
      </w:r>
    </w:p>
    <w:p w14:paraId="3D7E7ABC" w14:textId="77777777" w:rsidR="00EC46C1" w:rsidRPr="0063544E" w:rsidRDefault="00EC46C1" w:rsidP="00EC46C1">
      <w:pPr>
        <w:rPr>
          <w:b/>
        </w:rPr>
      </w:pPr>
    </w:p>
    <w:p w14:paraId="36051E0C" w14:textId="77777777" w:rsidR="00EC46C1" w:rsidRDefault="00EC46C1" w:rsidP="00EC46C1">
      <w:pPr>
        <w:rPr>
          <w:b/>
        </w:rPr>
      </w:pPr>
      <w:r w:rsidRPr="0063544E">
        <w:rPr>
          <w:b/>
          <w:u w:val="single"/>
        </w:rPr>
        <w:t xml:space="preserve">Proposal </w:t>
      </w:r>
      <w:r>
        <w:rPr>
          <w:b/>
          <w:u w:val="single"/>
        </w:rPr>
        <w:t>4</w:t>
      </w:r>
      <w:r w:rsidRPr="0063544E">
        <w:rPr>
          <w:b/>
          <w:u w:val="single"/>
        </w:rPr>
        <w:t>:</w:t>
      </w:r>
      <w:r>
        <w:rPr>
          <w:b/>
        </w:rPr>
        <w:t xml:space="preserve"> RAN4 should consider the feasibility of the following:</w:t>
      </w:r>
    </w:p>
    <w:p w14:paraId="7D5E8FF1" w14:textId="77777777" w:rsidR="00EC46C1" w:rsidRDefault="00EC46C1" w:rsidP="00EC46C1">
      <w:pPr>
        <w:rPr>
          <w:b/>
        </w:rPr>
      </w:pPr>
      <w:r>
        <w:rPr>
          <w:b/>
        </w:rPr>
        <w:tab/>
        <w:t xml:space="preserve">- Support of intra-frequency transmission for UEs supporting UL MIMO, at least for the case where source and target </w:t>
      </w:r>
      <w:proofErr w:type="spellStart"/>
      <w:r>
        <w:rPr>
          <w:b/>
        </w:rPr>
        <w:t>eNB</w:t>
      </w:r>
      <w:proofErr w:type="spellEnd"/>
      <w:r>
        <w:rPr>
          <w:b/>
        </w:rPr>
        <w:t xml:space="preserve"> require similar power, same timing advance, and same cell bandwidth.</w:t>
      </w:r>
    </w:p>
    <w:p w14:paraId="2FC50BBC" w14:textId="77777777" w:rsidR="00EC46C1" w:rsidRDefault="00EC46C1" w:rsidP="00EC46C1">
      <w:pPr>
        <w:rPr>
          <w:b/>
        </w:rPr>
      </w:pPr>
      <w:r>
        <w:rPr>
          <w:b/>
        </w:rPr>
        <w:tab/>
        <w:t>FFS: async and different power/bandwidth.</w:t>
      </w:r>
    </w:p>
    <w:p w14:paraId="2C5963EA" w14:textId="77777777" w:rsidR="00EC46C1" w:rsidRPr="0063544E" w:rsidRDefault="00EC46C1"/>
    <w:sectPr w:rsidR="00EC46C1" w:rsidRPr="0063544E" w:rsidSect="00D64908">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C4EF3" w14:textId="77777777" w:rsidR="00780CE6" w:rsidRDefault="00780CE6">
      <w:pPr>
        <w:spacing w:after="0"/>
      </w:pPr>
      <w:r>
        <w:separator/>
      </w:r>
    </w:p>
  </w:endnote>
  <w:endnote w:type="continuationSeparator" w:id="0">
    <w:p w14:paraId="788A763E" w14:textId="77777777" w:rsidR="00780CE6" w:rsidRDefault="00780C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92419" w14:textId="77777777" w:rsidR="002E3238" w:rsidRDefault="001923AC"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AA8908" w14:textId="77777777" w:rsidR="002E3238" w:rsidRDefault="00780CE6"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46C8A" w14:textId="77777777" w:rsidR="002E3238" w:rsidRDefault="001923AC"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E6C1E" w14:textId="77777777" w:rsidR="00780CE6" w:rsidRDefault="00780CE6">
      <w:pPr>
        <w:spacing w:after="0"/>
      </w:pPr>
      <w:r>
        <w:separator/>
      </w:r>
    </w:p>
  </w:footnote>
  <w:footnote w:type="continuationSeparator" w:id="0">
    <w:p w14:paraId="515E5FBE" w14:textId="77777777" w:rsidR="00780CE6" w:rsidRDefault="00780C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C5783" w14:textId="77777777" w:rsidR="002E3238" w:rsidRDefault="001923A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63DDB"/>
    <w:multiLevelType w:val="hybridMultilevel"/>
    <w:tmpl w:val="DE469F7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B143A5E"/>
    <w:multiLevelType w:val="hybridMultilevel"/>
    <w:tmpl w:val="A97448AC"/>
    <w:lvl w:ilvl="0" w:tplc="041D0001">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5"/>
  </w:num>
  <w:num w:numId="3">
    <w:abstractNumId w:val="2"/>
  </w:num>
  <w:num w:numId="4">
    <w:abstractNumId w:val="3"/>
  </w:num>
  <w:num w:numId="5">
    <w:abstractNumId w:val="6"/>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1DD"/>
    <w:rsid w:val="0006581C"/>
    <w:rsid w:val="00070878"/>
    <w:rsid w:val="0008128F"/>
    <w:rsid w:val="000825F3"/>
    <w:rsid w:val="0011484D"/>
    <w:rsid w:val="00117071"/>
    <w:rsid w:val="0012241D"/>
    <w:rsid w:val="001923AC"/>
    <w:rsid w:val="001D494A"/>
    <w:rsid w:val="001E7F57"/>
    <w:rsid w:val="00206CAC"/>
    <w:rsid w:val="00233193"/>
    <w:rsid w:val="00252BBD"/>
    <w:rsid w:val="002B4B33"/>
    <w:rsid w:val="002C4B9C"/>
    <w:rsid w:val="00304B08"/>
    <w:rsid w:val="00432FDA"/>
    <w:rsid w:val="00474D59"/>
    <w:rsid w:val="004C1BFC"/>
    <w:rsid w:val="004C63F1"/>
    <w:rsid w:val="00510A43"/>
    <w:rsid w:val="0052363B"/>
    <w:rsid w:val="00563CDC"/>
    <w:rsid w:val="00576B9E"/>
    <w:rsid w:val="005A3465"/>
    <w:rsid w:val="005E3E9F"/>
    <w:rsid w:val="0063544E"/>
    <w:rsid w:val="00645C2B"/>
    <w:rsid w:val="00683519"/>
    <w:rsid w:val="006B43D6"/>
    <w:rsid w:val="00751C81"/>
    <w:rsid w:val="007752E9"/>
    <w:rsid w:val="00780CE6"/>
    <w:rsid w:val="007B566D"/>
    <w:rsid w:val="007B7B99"/>
    <w:rsid w:val="0086745B"/>
    <w:rsid w:val="00884D35"/>
    <w:rsid w:val="0089401A"/>
    <w:rsid w:val="008975C8"/>
    <w:rsid w:val="008A2492"/>
    <w:rsid w:val="008C7EB1"/>
    <w:rsid w:val="00904298"/>
    <w:rsid w:val="009241DD"/>
    <w:rsid w:val="0093232A"/>
    <w:rsid w:val="0098780E"/>
    <w:rsid w:val="009A3CCE"/>
    <w:rsid w:val="009C4C59"/>
    <w:rsid w:val="00A43629"/>
    <w:rsid w:val="00A901B9"/>
    <w:rsid w:val="00A96526"/>
    <w:rsid w:val="00AB10E5"/>
    <w:rsid w:val="00AE6254"/>
    <w:rsid w:val="00B763AB"/>
    <w:rsid w:val="00B766D1"/>
    <w:rsid w:val="00BD257D"/>
    <w:rsid w:val="00BF1A5A"/>
    <w:rsid w:val="00C05EFA"/>
    <w:rsid w:val="00C62BE5"/>
    <w:rsid w:val="00D01A64"/>
    <w:rsid w:val="00D62F69"/>
    <w:rsid w:val="00DA4193"/>
    <w:rsid w:val="00DB4D0B"/>
    <w:rsid w:val="00DE0EE2"/>
    <w:rsid w:val="00E204E0"/>
    <w:rsid w:val="00EC46C1"/>
    <w:rsid w:val="00EE1CE5"/>
    <w:rsid w:val="00F52814"/>
    <w:rsid w:val="00F626FB"/>
    <w:rsid w:val="00FD7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C8B33"/>
  <w15:chartTrackingRefBased/>
  <w15:docId w15:val="{CBDA716B-792E-4CAC-B735-00C1332D6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41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uiPriority w:val="9"/>
    <w:qFormat/>
    <w:rsid w:val="009241D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9241DD"/>
    <w:rPr>
      <w:rFonts w:asciiTheme="majorHAnsi" w:eastAsiaTheme="majorEastAsia" w:hAnsiTheme="majorHAnsi" w:cstheme="majorBidi"/>
      <w:color w:val="2F5496" w:themeColor="accent1" w:themeShade="BF"/>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241D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241DD"/>
    <w:rPr>
      <w:rFonts w:ascii="Arial" w:eastAsia="SimSun" w:hAnsi="Arial" w:cs="Times New Roman"/>
      <w:b/>
      <w:noProof/>
      <w:sz w:val="18"/>
      <w:szCs w:val="20"/>
    </w:rPr>
  </w:style>
  <w:style w:type="paragraph" w:styleId="Footer">
    <w:name w:val="footer"/>
    <w:basedOn w:val="Header"/>
    <w:link w:val="FooterChar"/>
    <w:rsid w:val="009241DD"/>
    <w:pPr>
      <w:jc w:val="center"/>
    </w:pPr>
    <w:rPr>
      <w:i/>
    </w:rPr>
  </w:style>
  <w:style w:type="character" w:customStyle="1" w:styleId="FooterChar">
    <w:name w:val="Footer Char"/>
    <w:basedOn w:val="DefaultParagraphFont"/>
    <w:link w:val="Footer"/>
    <w:rsid w:val="009241DD"/>
    <w:rPr>
      <w:rFonts w:ascii="Arial" w:eastAsia="SimSun" w:hAnsi="Arial" w:cs="Times New Roman"/>
      <w:b/>
      <w:i/>
      <w:noProof/>
      <w:sz w:val="18"/>
      <w:szCs w:val="20"/>
    </w:rPr>
  </w:style>
  <w:style w:type="character" w:styleId="PageNumber">
    <w:name w:val="page number"/>
    <w:basedOn w:val="DefaultParagraphFont"/>
    <w:rsid w:val="009241DD"/>
  </w:style>
  <w:style w:type="character" w:customStyle="1" w:styleId="Heading1Char1">
    <w:name w:val="Heading 1 Char1"/>
    <w:link w:val="Heading1"/>
    <w:uiPriority w:val="9"/>
    <w:rsid w:val="009241DD"/>
    <w:rPr>
      <w:rFonts w:ascii="Arial" w:eastAsia="SimSun" w:hAnsi="Arial" w:cs="Times New Roman"/>
      <w:sz w:val="36"/>
      <w:szCs w:val="20"/>
      <w:lang w:val="en-GB"/>
    </w:rPr>
  </w:style>
  <w:style w:type="paragraph" w:styleId="ListParagraph">
    <w:name w:val="List Paragraph"/>
    <w:basedOn w:val="Normal"/>
    <w:uiPriority w:val="34"/>
    <w:qFormat/>
    <w:rsid w:val="009241DD"/>
    <w:pPr>
      <w:ind w:left="720"/>
      <w:contextualSpacing/>
    </w:pPr>
  </w:style>
  <w:style w:type="paragraph" w:customStyle="1" w:styleId="B1">
    <w:name w:val="B1"/>
    <w:basedOn w:val="List"/>
    <w:link w:val="B1Char1"/>
    <w:rsid w:val="009241DD"/>
    <w:pPr>
      <w:overflowPunct/>
      <w:autoSpaceDE/>
      <w:autoSpaceDN/>
      <w:adjustRightInd/>
      <w:ind w:left="568" w:hanging="284"/>
      <w:contextualSpacing w:val="0"/>
      <w:textAlignment w:val="auto"/>
    </w:pPr>
    <w:rPr>
      <w:rFonts w:eastAsia="Malgun Gothic"/>
    </w:rPr>
  </w:style>
  <w:style w:type="character" w:customStyle="1" w:styleId="B1Char1">
    <w:name w:val="B1 Char1"/>
    <w:link w:val="B1"/>
    <w:rsid w:val="009241DD"/>
    <w:rPr>
      <w:rFonts w:ascii="Times New Roman" w:eastAsia="Malgun Gothic" w:hAnsi="Times New Roman" w:cs="Times New Roman"/>
      <w:sz w:val="20"/>
      <w:szCs w:val="20"/>
      <w:lang w:val="en-GB"/>
    </w:rPr>
  </w:style>
  <w:style w:type="paragraph" w:customStyle="1" w:styleId="CRCoverPage">
    <w:name w:val="CR Cover Page"/>
    <w:rsid w:val="009241DD"/>
    <w:pPr>
      <w:spacing w:after="120" w:line="240" w:lineRule="auto"/>
    </w:pPr>
    <w:rPr>
      <w:rFonts w:ascii="Arial" w:eastAsia="SimSun" w:hAnsi="Arial" w:cs="Times New Roman"/>
      <w:sz w:val="20"/>
      <w:szCs w:val="20"/>
      <w:lang w:val="en-GB"/>
    </w:rPr>
  </w:style>
  <w:style w:type="paragraph" w:customStyle="1" w:styleId="B2">
    <w:name w:val="B2"/>
    <w:basedOn w:val="List2"/>
    <w:link w:val="B2Char"/>
    <w:rsid w:val="009241DD"/>
    <w:pPr>
      <w:ind w:left="851" w:hanging="284"/>
      <w:contextualSpacing w:val="0"/>
    </w:pPr>
    <w:rPr>
      <w:rFonts w:eastAsia="Times New Roman"/>
      <w:lang w:eastAsia="en-GB"/>
    </w:rPr>
  </w:style>
  <w:style w:type="character" w:customStyle="1" w:styleId="B2Char">
    <w:name w:val="B2 Char"/>
    <w:link w:val="B2"/>
    <w:locked/>
    <w:rsid w:val="009241D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241DD"/>
    <w:pPr>
      <w:ind w:left="360" w:hanging="360"/>
      <w:contextualSpacing/>
    </w:pPr>
  </w:style>
  <w:style w:type="paragraph" w:styleId="List2">
    <w:name w:val="List 2"/>
    <w:basedOn w:val="Normal"/>
    <w:uiPriority w:val="99"/>
    <w:semiHidden/>
    <w:unhideWhenUsed/>
    <w:rsid w:val="009241DD"/>
    <w:pPr>
      <w:ind w:left="720" w:hanging="360"/>
      <w:contextualSpacing/>
    </w:pPr>
  </w:style>
  <w:style w:type="paragraph" w:styleId="BalloonText">
    <w:name w:val="Balloon Text"/>
    <w:basedOn w:val="Normal"/>
    <w:link w:val="BalloonTextChar"/>
    <w:uiPriority w:val="99"/>
    <w:semiHidden/>
    <w:unhideWhenUsed/>
    <w:rsid w:val="009241D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41DD"/>
    <w:rPr>
      <w:rFonts w:ascii="Segoe UI" w:eastAsia="SimSun" w:hAnsi="Segoe UI" w:cs="Segoe UI"/>
      <w:sz w:val="18"/>
      <w:szCs w:val="18"/>
      <w:lang w:val="en-GB"/>
    </w:rPr>
  </w:style>
  <w:style w:type="character" w:styleId="PlaceholderText">
    <w:name w:val="Placeholder Text"/>
    <w:basedOn w:val="DefaultParagraphFont"/>
    <w:uiPriority w:val="99"/>
    <w:semiHidden/>
    <w:rsid w:val="00A43629"/>
    <w:rPr>
      <w:color w:val="808080"/>
    </w:rPr>
  </w:style>
  <w:style w:type="character" w:styleId="CommentReference">
    <w:name w:val="annotation reference"/>
    <w:basedOn w:val="DefaultParagraphFont"/>
    <w:uiPriority w:val="99"/>
    <w:semiHidden/>
    <w:unhideWhenUsed/>
    <w:rsid w:val="00206CAC"/>
    <w:rPr>
      <w:sz w:val="16"/>
      <w:szCs w:val="16"/>
    </w:rPr>
  </w:style>
  <w:style w:type="paragraph" w:styleId="CommentText">
    <w:name w:val="annotation text"/>
    <w:basedOn w:val="Normal"/>
    <w:link w:val="CommentTextChar"/>
    <w:uiPriority w:val="99"/>
    <w:semiHidden/>
    <w:unhideWhenUsed/>
    <w:rsid w:val="00206CAC"/>
  </w:style>
  <w:style w:type="character" w:customStyle="1" w:styleId="CommentTextChar">
    <w:name w:val="Comment Text Char"/>
    <w:basedOn w:val="DefaultParagraphFont"/>
    <w:link w:val="CommentText"/>
    <w:uiPriority w:val="99"/>
    <w:semiHidden/>
    <w:rsid w:val="00206CAC"/>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06CAC"/>
    <w:rPr>
      <w:b/>
      <w:bCs/>
    </w:rPr>
  </w:style>
  <w:style w:type="character" w:customStyle="1" w:styleId="CommentSubjectChar">
    <w:name w:val="Comment Subject Char"/>
    <w:basedOn w:val="CommentTextChar"/>
    <w:link w:val="CommentSubject"/>
    <w:uiPriority w:val="99"/>
    <w:semiHidden/>
    <w:rsid w:val="00206CAC"/>
    <w:rPr>
      <w:rFonts w:ascii="Times New Roman" w:eastAsia="SimSun" w:hAnsi="Times New Roman" w:cs="Times New Roman"/>
      <w:b/>
      <w:bCs/>
      <w:sz w:val="20"/>
      <w:szCs w:val="20"/>
      <w:lang w:val="en-GB"/>
    </w:rPr>
  </w:style>
  <w:style w:type="table" w:styleId="TableGrid">
    <w:name w:val="Table Grid"/>
    <w:basedOn w:val="TableNormal"/>
    <w:uiPriority w:val="39"/>
    <w:rsid w:val="00751C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51C81"/>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282763">
      <w:bodyDiv w:val="1"/>
      <w:marLeft w:val="0"/>
      <w:marRight w:val="0"/>
      <w:marTop w:val="0"/>
      <w:marBottom w:val="0"/>
      <w:divBdr>
        <w:top w:val="none" w:sz="0" w:space="0" w:color="auto"/>
        <w:left w:val="none" w:sz="0" w:space="0" w:color="auto"/>
        <w:bottom w:val="none" w:sz="0" w:space="0" w:color="auto"/>
        <w:right w:val="none" w:sz="0" w:space="0" w:color="auto"/>
      </w:divBdr>
    </w:div>
    <w:div w:id="373232350">
      <w:bodyDiv w:val="1"/>
      <w:marLeft w:val="0"/>
      <w:marRight w:val="0"/>
      <w:marTop w:val="0"/>
      <w:marBottom w:val="0"/>
      <w:divBdr>
        <w:top w:val="none" w:sz="0" w:space="0" w:color="auto"/>
        <w:left w:val="none" w:sz="0" w:space="0" w:color="auto"/>
        <w:bottom w:val="none" w:sz="0" w:space="0" w:color="auto"/>
        <w:right w:val="none" w:sz="0" w:space="0" w:color="auto"/>
      </w:divBdr>
    </w:div>
    <w:div w:id="787166293">
      <w:bodyDiv w:val="1"/>
      <w:marLeft w:val="0"/>
      <w:marRight w:val="0"/>
      <w:marTop w:val="0"/>
      <w:marBottom w:val="0"/>
      <w:divBdr>
        <w:top w:val="none" w:sz="0" w:space="0" w:color="auto"/>
        <w:left w:val="none" w:sz="0" w:space="0" w:color="auto"/>
        <w:bottom w:val="none" w:sz="0" w:space="0" w:color="auto"/>
        <w:right w:val="none" w:sz="0" w:space="0" w:color="auto"/>
      </w:divBdr>
    </w:div>
    <w:div w:id="823932859">
      <w:bodyDiv w:val="1"/>
      <w:marLeft w:val="0"/>
      <w:marRight w:val="0"/>
      <w:marTop w:val="0"/>
      <w:marBottom w:val="0"/>
      <w:divBdr>
        <w:top w:val="none" w:sz="0" w:space="0" w:color="auto"/>
        <w:left w:val="none" w:sz="0" w:space="0" w:color="auto"/>
        <w:bottom w:val="none" w:sz="0" w:space="0" w:color="auto"/>
        <w:right w:val="none" w:sz="0" w:space="0" w:color="auto"/>
      </w:divBdr>
    </w:div>
    <w:div w:id="163074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3</Pages>
  <Words>968</Words>
  <Characters>5519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 Rico Alvarino</dc:creator>
  <cp:keywords/>
  <dc:description/>
  <cp:lastModifiedBy>Alberto R</cp:lastModifiedBy>
  <cp:revision>10</cp:revision>
  <dcterms:created xsi:type="dcterms:W3CDTF">2018-09-28T03:42:00Z</dcterms:created>
  <dcterms:modified xsi:type="dcterms:W3CDTF">2018-11-02T23:36:00Z</dcterms:modified>
</cp:coreProperties>
</file>